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BD63" w14:textId="77777777" w:rsidR="006C642B" w:rsidRPr="006C642B" w:rsidRDefault="006C642B" w:rsidP="006C642B">
      <w:pPr>
        <w:shd w:val="clear" w:color="auto" w:fill="FFFFFF"/>
        <w:outlineLvl w:val="0"/>
        <w:rPr>
          <w:rFonts w:ascii="Lato" w:eastAsia="Times New Roman" w:hAnsi="Lato" w:cs="Times New Roman"/>
          <w:color w:val="CC3300"/>
          <w:kern w:val="36"/>
          <w:sz w:val="36"/>
          <w:szCs w:val="36"/>
          <w:lang w:eastAsia="fr-FR"/>
        </w:rPr>
      </w:pPr>
      <w:r w:rsidRPr="006C642B">
        <w:rPr>
          <w:rFonts w:ascii="Lato" w:eastAsia="Times New Roman" w:hAnsi="Lato" w:cs="Times New Roman"/>
          <w:color w:val="CC3300"/>
          <w:kern w:val="36"/>
          <w:sz w:val="36"/>
          <w:szCs w:val="36"/>
          <w:lang w:eastAsia="fr-FR"/>
        </w:rPr>
        <w:t>Craintes apaisées, métaux de base soulagés</w:t>
      </w:r>
    </w:p>
    <w:p w14:paraId="0467E2C7" w14:textId="77777777" w:rsidR="006C642B" w:rsidRDefault="006C642B" w:rsidP="006C642B">
      <w:pPr>
        <w:shd w:val="clear" w:color="auto" w:fill="FFFFFF"/>
        <w:spacing w:before="75" w:after="75"/>
        <w:jc w:val="both"/>
        <w:rPr>
          <w:rFonts w:ascii="Lato" w:eastAsia="Times New Roman" w:hAnsi="Lato" w:cs="Times New Roman"/>
          <w:i/>
          <w:iCs/>
          <w:color w:val="000000"/>
          <w:sz w:val="23"/>
          <w:szCs w:val="23"/>
          <w:lang w:eastAsia="fr-FR"/>
        </w:rPr>
      </w:pPr>
    </w:p>
    <w:p w14:paraId="0D726A44" w14:textId="4FB8ECF9" w:rsidR="006C642B" w:rsidRPr="006C642B" w:rsidRDefault="006C642B" w:rsidP="006C642B">
      <w:pPr>
        <w:shd w:val="clear" w:color="auto" w:fill="FFFFFF"/>
        <w:spacing w:before="75" w:after="75"/>
        <w:jc w:val="both"/>
        <w:rPr>
          <w:rFonts w:ascii="Lato" w:eastAsia="Times New Roman" w:hAnsi="Lato" w:cs="Times New Roman"/>
          <w:color w:val="000000"/>
          <w:sz w:val="23"/>
          <w:szCs w:val="23"/>
          <w:lang w:eastAsia="fr-FR"/>
        </w:rPr>
      </w:pPr>
      <w:r w:rsidRPr="006C642B">
        <w:rPr>
          <w:rFonts w:ascii="Lato" w:eastAsia="Times New Roman" w:hAnsi="Lato" w:cs="Times New Roman"/>
          <w:color w:val="000000"/>
          <w:sz w:val="23"/>
          <w:szCs w:val="23"/>
          <w:lang w:eastAsia="fr-FR"/>
        </w:rPr>
        <w:t>Les cours des métaux industriels sont de nouveau sur une pente ascendante. Les craintes concernant une crise bancaire mondiale sont retombées et le cuivre bénéficie d’une meilleure consommation chinoise.</w:t>
      </w:r>
    </w:p>
    <w:p w14:paraId="79636726" w14:textId="77777777" w:rsidR="006C642B" w:rsidRPr="006C642B" w:rsidRDefault="006C642B" w:rsidP="006C642B">
      <w:pPr>
        <w:shd w:val="clear" w:color="auto" w:fill="FFFFFF"/>
        <w:spacing w:before="75" w:after="75"/>
        <w:jc w:val="both"/>
        <w:rPr>
          <w:rFonts w:ascii="Lato" w:eastAsia="Times New Roman" w:hAnsi="Lato" w:cs="Times New Roman"/>
          <w:color w:val="000000"/>
          <w:sz w:val="23"/>
          <w:szCs w:val="23"/>
          <w:lang w:eastAsia="fr-FR"/>
        </w:rPr>
      </w:pPr>
      <w:r w:rsidRPr="006C642B">
        <w:rPr>
          <w:rFonts w:ascii="Lato" w:eastAsia="Times New Roman" w:hAnsi="Lato" w:cs="Times New Roman"/>
          <w:color w:val="000000"/>
          <w:sz w:val="23"/>
          <w:szCs w:val="23"/>
          <w:lang w:eastAsia="fr-FR"/>
        </w:rPr>
        <w:t>Sur le LME, le </w:t>
      </w:r>
      <w:r w:rsidRPr="006C642B">
        <w:rPr>
          <w:rFonts w:ascii="Lato" w:eastAsia="Times New Roman" w:hAnsi="Lato" w:cs="Times New Roman"/>
          <w:color w:val="000000"/>
          <w:sz w:val="23"/>
          <w:szCs w:val="23"/>
          <w:u w:val="single"/>
          <w:lang w:eastAsia="fr-FR"/>
        </w:rPr>
        <w:t>cuivre</w:t>
      </w:r>
      <w:r w:rsidRPr="006C642B">
        <w:rPr>
          <w:rFonts w:ascii="Lato" w:eastAsia="Times New Roman" w:hAnsi="Lato" w:cs="Times New Roman"/>
          <w:color w:val="000000"/>
          <w:sz w:val="23"/>
          <w:szCs w:val="23"/>
          <w:lang w:eastAsia="fr-FR"/>
        </w:rPr>
        <w:t> pour livraison à trois mois gagne 0,2 % à 8.594 $/t. A Shanghai, le contrat le plus échangé (échéance avril) a enregistré un gain de 0,8 % à 67.390 yuan/t  (9,769.92 $).</w:t>
      </w:r>
    </w:p>
    <w:p w14:paraId="757922B3" w14:textId="77777777" w:rsidR="006C642B" w:rsidRPr="006C642B" w:rsidRDefault="006C642B" w:rsidP="006C642B">
      <w:pPr>
        <w:shd w:val="clear" w:color="auto" w:fill="FFFFFF"/>
        <w:spacing w:before="75" w:after="75"/>
        <w:jc w:val="both"/>
        <w:rPr>
          <w:rFonts w:ascii="Lato" w:eastAsia="Times New Roman" w:hAnsi="Lato" w:cs="Times New Roman"/>
          <w:color w:val="000000"/>
          <w:sz w:val="23"/>
          <w:szCs w:val="23"/>
          <w:lang w:eastAsia="fr-FR"/>
        </w:rPr>
      </w:pPr>
      <w:r w:rsidRPr="006C642B">
        <w:rPr>
          <w:rFonts w:ascii="Lato" w:eastAsia="Times New Roman" w:hAnsi="Lato" w:cs="Times New Roman"/>
          <w:color w:val="000000"/>
          <w:sz w:val="23"/>
          <w:szCs w:val="23"/>
          <w:lang w:eastAsia="fr-FR"/>
        </w:rPr>
        <w:t>Les mesures prises par les autorités afin d’éviter une crise bancaire mondiale ont redonné confiance au marché. Les investisseurs ont accueilli positivement l’acquisition du Crédit Suisse par UBS Group et les liquidités en dollar fournies en urgence par les principales banques centrales.</w:t>
      </w:r>
    </w:p>
    <w:p w14:paraId="43351DA5" w14:textId="77777777" w:rsidR="006C642B" w:rsidRPr="006C642B" w:rsidRDefault="006C642B" w:rsidP="006C642B">
      <w:pPr>
        <w:shd w:val="clear" w:color="auto" w:fill="FFFFFF"/>
        <w:spacing w:before="75" w:after="75"/>
        <w:jc w:val="both"/>
        <w:rPr>
          <w:rFonts w:ascii="Lato" w:eastAsia="Times New Roman" w:hAnsi="Lato" w:cs="Times New Roman"/>
          <w:color w:val="000000"/>
          <w:sz w:val="23"/>
          <w:szCs w:val="23"/>
          <w:lang w:eastAsia="fr-FR"/>
        </w:rPr>
      </w:pPr>
      <w:r w:rsidRPr="006C642B">
        <w:rPr>
          <w:rFonts w:ascii="Lato" w:eastAsia="Times New Roman" w:hAnsi="Lato" w:cs="Times New Roman"/>
          <w:color w:val="000000"/>
          <w:sz w:val="23"/>
          <w:szCs w:val="23"/>
          <w:lang w:eastAsia="fr-FR"/>
        </w:rPr>
        <w:t>La prime du </w:t>
      </w:r>
      <w:r w:rsidRPr="006C642B">
        <w:rPr>
          <w:rFonts w:ascii="Lato" w:eastAsia="Times New Roman" w:hAnsi="Lato" w:cs="Times New Roman"/>
          <w:color w:val="000000"/>
          <w:sz w:val="23"/>
          <w:szCs w:val="23"/>
          <w:u w:val="single"/>
          <w:lang w:eastAsia="fr-FR"/>
        </w:rPr>
        <w:t>cuivre</w:t>
      </w:r>
      <w:r w:rsidRPr="006C642B">
        <w:rPr>
          <w:rFonts w:ascii="Lato" w:eastAsia="Times New Roman" w:hAnsi="Lato" w:cs="Times New Roman"/>
          <w:color w:val="000000"/>
          <w:sz w:val="23"/>
          <w:szCs w:val="23"/>
          <w:lang w:eastAsia="fr-FR"/>
        </w:rPr>
        <w:t> </w:t>
      </w:r>
      <w:proofErr w:type="spellStart"/>
      <w:r w:rsidRPr="006C642B">
        <w:rPr>
          <w:rFonts w:ascii="Lato" w:eastAsia="Times New Roman" w:hAnsi="Lato" w:cs="Times New Roman"/>
          <w:color w:val="000000"/>
          <w:sz w:val="23"/>
          <w:szCs w:val="23"/>
          <w:lang w:eastAsia="fr-FR"/>
        </w:rPr>
        <w:t>Yangshan</w:t>
      </w:r>
      <w:proofErr w:type="spellEnd"/>
      <w:r w:rsidRPr="006C642B">
        <w:rPr>
          <w:rFonts w:ascii="Lato" w:eastAsia="Times New Roman" w:hAnsi="Lato" w:cs="Times New Roman"/>
          <w:color w:val="000000"/>
          <w:sz w:val="23"/>
          <w:szCs w:val="23"/>
          <w:lang w:eastAsia="fr-FR"/>
        </w:rPr>
        <w:t xml:space="preserve"> a atteint 50 $ vendredi, son niveau le plus élevé depuis décembre, ce qui indique un appétit grandissant pour le </w:t>
      </w:r>
      <w:r w:rsidRPr="006C642B">
        <w:rPr>
          <w:rFonts w:ascii="Lato" w:eastAsia="Times New Roman" w:hAnsi="Lato" w:cs="Times New Roman"/>
          <w:color w:val="000000"/>
          <w:sz w:val="23"/>
          <w:szCs w:val="23"/>
          <w:u w:val="single"/>
          <w:lang w:eastAsia="fr-FR"/>
        </w:rPr>
        <w:t>cuivre</w:t>
      </w:r>
      <w:r w:rsidRPr="006C642B">
        <w:rPr>
          <w:rFonts w:ascii="Lato" w:eastAsia="Times New Roman" w:hAnsi="Lato" w:cs="Times New Roman"/>
          <w:color w:val="000000"/>
          <w:sz w:val="23"/>
          <w:szCs w:val="23"/>
          <w:lang w:eastAsia="fr-FR"/>
        </w:rPr>
        <w:t xml:space="preserve"> importé en Chine. Par ailleurs, les inventaires du </w:t>
      </w:r>
      <w:proofErr w:type="spellStart"/>
      <w:r w:rsidRPr="006C642B">
        <w:rPr>
          <w:rFonts w:ascii="Lato" w:eastAsia="Times New Roman" w:hAnsi="Lato" w:cs="Times New Roman"/>
          <w:color w:val="000000"/>
          <w:sz w:val="23"/>
          <w:szCs w:val="23"/>
          <w:lang w:eastAsia="fr-FR"/>
        </w:rPr>
        <w:t>ShFE</w:t>
      </w:r>
      <w:proofErr w:type="spellEnd"/>
      <w:r w:rsidRPr="006C642B">
        <w:rPr>
          <w:rFonts w:ascii="Lato" w:eastAsia="Times New Roman" w:hAnsi="Lato" w:cs="Times New Roman"/>
          <w:color w:val="000000"/>
          <w:sz w:val="23"/>
          <w:szCs w:val="23"/>
          <w:lang w:eastAsia="fr-FR"/>
        </w:rPr>
        <w:t xml:space="preserve"> sont en baisse pour la 3</w:t>
      </w:r>
      <w:r w:rsidRPr="006C642B">
        <w:rPr>
          <w:rFonts w:ascii="Lato" w:eastAsia="Times New Roman" w:hAnsi="Lato" w:cs="Times New Roman"/>
          <w:color w:val="000000"/>
          <w:sz w:val="23"/>
          <w:szCs w:val="23"/>
          <w:vertAlign w:val="superscript"/>
          <w:lang w:eastAsia="fr-FR"/>
        </w:rPr>
        <w:t>ème</w:t>
      </w:r>
      <w:r w:rsidRPr="006C642B">
        <w:rPr>
          <w:rFonts w:ascii="Lato" w:eastAsia="Times New Roman" w:hAnsi="Lato" w:cs="Times New Roman"/>
          <w:color w:val="000000"/>
          <w:sz w:val="23"/>
          <w:szCs w:val="23"/>
          <w:lang w:eastAsia="fr-FR"/>
        </w:rPr>
        <w:t> semaine consécutive et au plus bas depuis janvier, à 182.341 tonnes.</w:t>
      </w:r>
    </w:p>
    <w:p w14:paraId="67BF1D14" w14:textId="77777777" w:rsidR="006C642B" w:rsidRPr="006C642B" w:rsidRDefault="006C642B" w:rsidP="006C642B">
      <w:pPr>
        <w:shd w:val="clear" w:color="auto" w:fill="FFFFFF"/>
        <w:spacing w:before="75" w:after="75"/>
        <w:jc w:val="both"/>
        <w:rPr>
          <w:rFonts w:ascii="Lato" w:eastAsia="Times New Roman" w:hAnsi="Lato" w:cs="Times New Roman"/>
          <w:color w:val="000000"/>
          <w:sz w:val="23"/>
          <w:szCs w:val="23"/>
          <w:lang w:eastAsia="fr-FR"/>
        </w:rPr>
      </w:pPr>
      <w:r w:rsidRPr="006C642B">
        <w:rPr>
          <w:rFonts w:ascii="Lato" w:eastAsia="Times New Roman" w:hAnsi="Lato" w:cs="Times New Roman"/>
          <w:color w:val="000000"/>
          <w:sz w:val="23"/>
          <w:szCs w:val="23"/>
          <w:lang w:eastAsia="fr-FR"/>
        </w:rPr>
        <w:t>Les importations chinoises </w:t>
      </w:r>
      <w:r w:rsidRPr="006C642B">
        <w:rPr>
          <w:rFonts w:ascii="Lato" w:eastAsia="Times New Roman" w:hAnsi="Lato" w:cs="Times New Roman"/>
          <w:color w:val="000000"/>
          <w:sz w:val="23"/>
          <w:szCs w:val="23"/>
          <w:u w:val="single"/>
          <w:lang w:eastAsia="fr-FR"/>
        </w:rPr>
        <w:t>d’aluminium</w:t>
      </w:r>
      <w:r w:rsidRPr="006C642B">
        <w:rPr>
          <w:rFonts w:ascii="Lato" w:eastAsia="Times New Roman" w:hAnsi="Lato" w:cs="Times New Roman"/>
          <w:color w:val="000000"/>
          <w:sz w:val="23"/>
          <w:szCs w:val="23"/>
          <w:lang w:eastAsia="fr-FR"/>
        </w:rPr>
        <w:t> aux mois de janvier et février 2023 sont supérieures de 11,3 % à celles de l’année précédente, avec 374.321 tonnes au total. Cette hausse est en partie due à l’enthousiasme des acheteurs qui, après la levée des mesures anti-Covid, anticipaient une importante reprise économique.</w:t>
      </w:r>
    </w:p>
    <w:p w14:paraId="668AA148"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2B"/>
    <w:rsid w:val="000F156F"/>
    <w:rsid w:val="006C642B"/>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151758E"/>
  <w15:chartTrackingRefBased/>
  <w15:docId w15:val="{CA67B65A-CDDA-1F4D-A70A-EDAA62B1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C642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42B"/>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6C642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C642B"/>
    <w:rPr>
      <w:color w:val="0000FF"/>
      <w:u w:val="single"/>
    </w:rPr>
  </w:style>
  <w:style w:type="paragraph" w:styleId="NormalWeb">
    <w:name w:val="Normal (Web)"/>
    <w:basedOn w:val="Normal"/>
    <w:uiPriority w:val="99"/>
    <w:semiHidden/>
    <w:unhideWhenUsed/>
    <w:rsid w:val="006C642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1142</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2023-03-20T08:30:00Z</dcterms:created>
  <dcterms:modified xsi:type="dcterms:W3CDTF">2023-03-20T08:30:00Z</dcterms:modified>
</cp:coreProperties>
</file>